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8472F">
      <w:pPr>
        <w:adjustRightInd w:val="0"/>
        <w:snapToGrid w:val="0"/>
        <w:spacing w:line="600" w:lineRule="exact"/>
        <w:jc w:val="center"/>
        <w:rPr>
          <w:rFonts w:ascii="微软雅黑" w:hAnsi="仿宋" w:eastAsia="微软雅黑" w:cs="宋体"/>
          <w:snapToGrid w:val="0"/>
          <w:color w:val="000000"/>
          <w:kern w:val="0"/>
          <w:sz w:val="44"/>
          <w:szCs w:val="44"/>
        </w:rPr>
      </w:pPr>
    </w:p>
    <w:p w14:paraId="65E8CC98">
      <w:pPr>
        <w:adjustRightInd w:val="0"/>
        <w:snapToGrid w:val="0"/>
        <w:spacing w:line="600" w:lineRule="exact"/>
        <w:jc w:val="center"/>
        <w:rPr>
          <w:rFonts w:ascii="黑体" w:hAnsi="黑体" w:eastAsia="黑体" w:cs="黑体"/>
          <w:snapToGrid w:val="0"/>
          <w:color w:val="000000"/>
          <w:spacing w:val="-17"/>
          <w:kern w:val="0"/>
          <w:sz w:val="44"/>
          <w:szCs w:val="44"/>
        </w:rPr>
      </w:pPr>
      <w:r>
        <w:rPr>
          <w:rFonts w:hint="eastAsia" w:ascii="微软雅黑" w:hAnsi="仿宋" w:eastAsia="微软雅黑" w:cs="宋体"/>
          <w:snapToGrid w:val="0"/>
          <w:color w:val="000000"/>
          <w:spacing w:val="-17"/>
          <w:kern w:val="0"/>
          <w:sz w:val="44"/>
          <w:szCs w:val="44"/>
        </w:rPr>
        <w:t xml:space="preserve"> </w:t>
      </w:r>
      <w:r>
        <w:rPr>
          <w:rFonts w:hint="eastAsia" w:ascii="黑体" w:hAnsi="黑体" w:eastAsia="黑体" w:cs="黑体"/>
          <w:snapToGrid w:val="0"/>
          <w:color w:val="000000"/>
          <w:spacing w:val="-17"/>
          <w:kern w:val="0"/>
          <w:sz w:val="44"/>
          <w:szCs w:val="44"/>
        </w:rPr>
        <w:t>宝鸡市中心城区立体生态住宅建筑工作方案</w:t>
      </w:r>
    </w:p>
    <w:p w14:paraId="1E23B657">
      <w:pPr>
        <w:adjustRightInd w:val="0"/>
        <w:snapToGrid w:val="0"/>
        <w:spacing w:line="600" w:lineRule="exact"/>
        <w:jc w:val="center"/>
        <w:rPr>
          <w:rFonts w:ascii="黑体" w:hAnsi="黑体" w:eastAsia="黑体" w:cs="黑体"/>
          <w:snapToGrid w:val="0"/>
          <w:color w:val="000000"/>
          <w:spacing w:val="-17"/>
          <w:kern w:val="0"/>
          <w:sz w:val="44"/>
          <w:szCs w:val="44"/>
        </w:rPr>
      </w:pPr>
      <w:r>
        <w:rPr>
          <w:rFonts w:hint="eastAsia" w:ascii="黑体" w:hAnsi="黑体" w:eastAsia="黑体" w:cs="黑体"/>
          <w:snapToGrid w:val="0"/>
          <w:color w:val="000000"/>
          <w:spacing w:val="-17"/>
          <w:kern w:val="0"/>
          <w:sz w:val="44"/>
          <w:szCs w:val="44"/>
        </w:rPr>
        <w:t>（</w:t>
      </w:r>
      <w:r>
        <w:rPr>
          <w:rFonts w:hint="eastAsia" w:ascii="黑体" w:hAnsi="黑体" w:eastAsia="黑体" w:cs="黑体"/>
          <w:snapToGrid w:val="0"/>
          <w:color w:val="000000"/>
          <w:spacing w:val="-17"/>
          <w:kern w:val="0"/>
          <w:sz w:val="44"/>
          <w:szCs w:val="44"/>
          <w:lang w:val="en-US" w:eastAsia="zh-CN"/>
        </w:rPr>
        <w:t>修改完善</w:t>
      </w:r>
      <w:r>
        <w:rPr>
          <w:rFonts w:hint="eastAsia" w:ascii="黑体" w:hAnsi="黑体" w:eastAsia="黑体" w:cs="黑体"/>
          <w:snapToGrid w:val="0"/>
          <w:color w:val="000000"/>
          <w:spacing w:val="-17"/>
          <w:kern w:val="0"/>
          <w:sz w:val="44"/>
          <w:szCs w:val="44"/>
        </w:rPr>
        <w:t>稿）</w:t>
      </w:r>
      <w:bookmarkStart w:id="0" w:name="_GoBack"/>
      <w:bookmarkEnd w:id="0"/>
    </w:p>
    <w:p w14:paraId="35C0A880">
      <w:pPr>
        <w:adjustRightInd w:val="0"/>
        <w:snapToGrid w:val="0"/>
        <w:spacing w:line="600" w:lineRule="exact"/>
        <w:jc w:val="center"/>
        <w:rPr>
          <w:rFonts w:ascii="微软雅黑" w:hAnsi="仿宋" w:eastAsia="微软雅黑" w:cs="宋体"/>
          <w:snapToGrid w:val="0"/>
          <w:color w:val="000000"/>
          <w:spacing w:val="-17"/>
          <w:kern w:val="0"/>
          <w:sz w:val="44"/>
          <w:szCs w:val="44"/>
        </w:rPr>
      </w:pPr>
    </w:p>
    <w:p w14:paraId="6C2255A3">
      <w:pPr>
        <w:adjustRightInd w:val="0"/>
        <w:snapToGrid w:val="0"/>
        <w:spacing w:line="600" w:lineRule="exact"/>
        <w:ind w:firstLine="64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为贯彻落实中央经济工作会议精神，适应房地产市场供求关系新变化，推动住房产品的迭代升级和供给侧改革，满足人民群众对美好生活的期待，结合我市实际，制定本方案。</w:t>
      </w:r>
    </w:p>
    <w:p w14:paraId="4E3C6AA3">
      <w:pPr>
        <w:pStyle w:val="7"/>
        <w:widowControl/>
        <w:spacing w:beforeAutospacing="0" w:afterAutospacing="0" w:line="600" w:lineRule="exact"/>
        <w:ind w:firstLine="640"/>
        <w:jc w:val="both"/>
        <w:rPr>
          <w:rFonts w:ascii="Calibri" w:hAnsi="Calibri" w:cs="Calibri"/>
          <w:sz w:val="21"/>
          <w:szCs w:val="21"/>
        </w:rPr>
      </w:pPr>
      <w:r>
        <w:rPr>
          <w:rFonts w:ascii="黑体" w:hAnsi="宋体" w:eastAsia="黑体" w:cs="黑体"/>
          <w:sz w:val="32"/>
          <w:szCs w:val="32"/>
          <w:shd w:val="clear" w:color="auto" w:fill="FFFFFF"/>
        </w:rPr>
        <w:t>一、指导思想</w:t>
      </w:r>
    </w:p>
    <w:p w14:paraId="45171026">
      <w:pPr>
        <w:pStyle w:val="7"/>
        <w:widowControl/>
        <w:spacing w:beforeAutospacing="0" w:afterAutospacing="0" w:line="600" w:lineRule="exact"/>
        <w:ind w:firstLine="640"/>
        <w:jc w:val="both"/>
        <w:rPr>
          <w:rFonts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以习近平新时代中国特色社会主义思想为指导，认真贯彻中央经济工作会议精神，坚持以人民为中心的发展思想，以城市更新改造为契机，提供多样化高质量住宅产品，不断满足人民群众对改善型住房的需求。</w:t>
      </w:r>
    </w:p>
    <w:p w14:paraId="20D508B2">
      <w:pPr>
        <w:spacing w:line="600" w:lineRule="exact"/>
        <w:ind w:firstLine="640" w:firstLineChars="200"/>
        <w:rPr>
          <w:rFonts w:ascii="黑体" w:hAnsi="黑体" w:eastAsia="黑体" w:cs="黑体"/>
          <w:sz w:val="32"/>
          <w:szCs w:val="40"/>
        </w:rPr>
      </w:pPr>
      <w:r>
        <w:rPr>
          <w:rFonts w:hint="eastAsia" w:ascii="黑体" w:hAnsi="黑体" w:eastAsia="黑体" w:cs="黑体"/>
          <w:sz w:val="32"/>
          <w:szCs w:val="40"/>
        </w:rPr>
        <w:t>二、总体要求</w:t>
      </w:r>
    </w:p>
    <w:p w14:paraId="3846BBAC">
      <w:pPr>
        <w:pStyle w:val="7"/>
        <w:widowControl/>
        <w:spacing w:beforeAutospacing="0" w:afterAutospacing="0" w:line="600" w:lineRule="exact"/>
        <w:ind w:firstLine="640"/>
        <w:jc w:val="both"/>
        <w:rPr>
          <w:rFonts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立体生态住宅的设计应符合国家现行相关规范及规定，以保障安全性及城市风貌的整体协调性为基本原则，因地制宜、以人为本，在集约、节约利用土地和空间的前提下，按照经济、适用、安全、绿色、美观的要求进行建设。</w:t>
      </w:r>
    </w:p>
    <w:p w14:paraId="7BBA6143">
      <w:pPr>
        <w:spacing w:line="600" w:lineRule="exact"/>
        <w:ind w:firstLine="640" w:firstLineChars="200"/>
        <w:rPr>
          <w:rFonts w:ascii="黑体" w:hAnsi="黑体" w:eastAsia="黑体" w:cs="黑体"/>
          <w:sz w:val="32"/>
          <w:szCs w:val="40"/>
        </w:rPr>
      </w:pPr>
      <w:r>
        <w:rPr>
          <w:rFonts w:hint="eastAsia" w:ascii="黑体" w:hAnsi="黑体" w:eastAsia="黑体" w:cs="黑体"/>
          <w:sz w:val="32"/>
          <w:szCs w:val="40"/>
        </w:rPr>
        <w:t>三、概念</w:t>
      </w:r>
    </w:p>
    <w:p w14:paraId="7887E834">
      <w:pPr>
        <w:pStyle w:val="7"/>
        <w:widowControl/>
        <w:spacing w:beforeAutospacing="0" w:afterAutospacing="0" w:line="600" w:lineRule="exact"/>
        <w:ind w:firstLine="640"/>
        <w:jc w:val="both"/>
        <w:rPr>
          <w:rFonts w:ascii="仿宋" w:hAnsi="仿宋" w:eastAsia="仿宋" w:cs="仿宋"/>
          <w:kern w:val="2"/>
          <w:sz w:val="32"/>
          <w:szCs w:val="32"/>
          <w:shd w:val="clear" w:color="auto" w:fill="FFFFFF"/>
        </w:rPr>
      </w:pPr>
      <w:r>
        <w:rPr>
          <w:rFonts w:hint="eastAsia" w:ascii="仿宋" w:hAnsi="仿宋" w:eastAsia="仿宋" w:cs="仿宋"/>
          <w:kern w:val="2"/>
          <w:sz w:val="32"/>
          <w:szCs w:val="32"/>
          <w:shd w:val="clear" w:color="auto" w:fill="FFFFFF"/>
        </w:rPr>
        <w:t>立体生态住宅是指将绿色生态理念融入城市建筑，通过设置户属空中花园、公共休闲平台等立体绿化空间，将立体绿化空间与现代建筑相结合的改善型住宅。</w:t>
      </w:r>
    </w:p>
    <w:p w14:paraId="75727A79">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（一）户属空中花园：指高度不小于两个自然层的空中花园，与住宅套内空间相连，宜设置在每套住宅的起居室外或建筑转角处。</w:t>
      </w:r>
    </w:p>
    <w:p w14:paraId="2C65895A">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（二）公共休闲平台：指高度不小于两个自然层，与住宅公共空间连接，供全体业主共享的开敞式公共休闲平台</w:t>
      </w:r>
      <w:r>
        <w:rPr>
          <w:rFonts w:hint="eastAsia" w:ascii="仿宋" w:hAnsi="仿宋" w:eastAsia="仿宋" w:cs="仿宋"/>
          <w:sz w:val="32"/>
          <w:szCs w:val="32"/>
          <w:shd w:val="clear" w:color="auto" w:fill="FFFFFF"/>
          <w:lang w:eastAsia="zh-CN"/>
        </w:rPr>
        <w:t>。</w:t>
      </w:r>
    </w:p>
    <w:p w14:paraId="3EE46946">
      <w:pPr>
        <w:spacing w:line="600" w:lineRule="exact"/>
        <w:ind w:firstLine="640" w:firstLineChars="200"/>
        <w:rPr>
          <w:rFonts w:ascii="黑体" w:hAnsi="宋体" w:eastAsia="黑体" w:cs="黑体"/>
          <w:sz w:val="32"/>
          <w:szCs w:val="32"/>
          <w:shd w:val="clear" w:color="auto" w:fill="FFFFFF"/>
        </w:rPr>
      </w:pPr>
      <w:r>
        <w:rPr>
          <w:rFonts w:hint="eastAsia" w:ascii="黑体" w:hAnsi="宋体" w:eastAsia="黑体" w:cs="黑体"/>
          <w:sz w:val="32"/>
          <w:szCs w:val="32"/>
          <w:shd w:val="clear" w:color="auto" w:fill="FFFFFF"/>
          <w:lang w:val="en-US" w:eastAsia="zh-CN"/>
        </w:rPr>
        <w:t>四</w:t>
      </w:r>
      <w:r>
        <w:rPr>
          <w:rFonts w:hint="eastAsia" w:ascii="黑体" w:hAnsi="宋体" w:eastAsia="黑体" w:cs="黑体"/>
          <w:sz w:val="32"/>
          <w:szCs w:val="32"/>
          <w:shd w:val="clear" w:color="auto" w:fill="FFFFFF"/>
        </w:rPr>
        <w:t>、建设标准和要求</w:t>
      </w:r>
    </w:p>
    <w:p w14:paraId="7936C367">
      <w:pPr>
        <w:numPr>
          <w:ilvl w:val="0"/>
          <w:numId w:val="1"/>
        </w:numPr>
        <w:spacing w:line="600" w:lineRule="exact"/>
        <w:rPr>
          <w:rFonts w:ascii="仿宋" w:hAnsi="仿宋" w:eastAsia="仿宋" w:cs="仿宋"/>
          <w:color w:val="FF0000"/>
          <w:sz w:val="32"/>
          <w:szCs w:val="32"/>
          <w:shd w:val="clear" w:color="auto" w:fill="FFFFFF"/>
        </w:rPr>
      </w:pPr>
      <w:r>
        <w:rPr>
          <w:rFonts w:hint="eastAsia" w:ascii="仿宋" w:hAnsi="仿宋" w:eastAsia="仿宋" w:cs="仿宋"/>
          <w:sz w:val="32"/>
          <w:szCs w:val="32"/>
          <w:shd w:val="clear" w:color="auto" w:fill="FFFFFF"/>
        </w:rPr>
        <w:t>居住建筑进行立体生态住宅设计的，每套</w:t>
      </w:r>
      <w:r>
        <w:rPr>
          <w:rFonts w:hint="eastAsia" w:ascii="仿宋" w:hAnsi="仿宋" w:eastAsia="仿宋" w:cs="仿宋"/>
          <w:sz w:val="32"/>
          <w:szCs w:val="32"/>
          <w:shd w:val="clear" w:color="auto" w:fill="FFFFFF"/>
          <w:lang w:val="en-US" w:eastAsia="zh-CN"/>
        </w:rPr>
        <w:t>立体生态</w:t>
      </w:r>
      <w:r>
        <w:rPr>
          <w:rFonts w:hint="eastAsia" w:ascii="仿宋" w:hAnsi="仿宋" w:eastAsia="仿宋" w:cs="仿宋"/>
          <w:sz w:val="32"/>
          <w:szCs w:val="32"/>
          <w:shd w:val="clear" w:color="auto" w:fill="FFFFFF"/>
        </w:rPr>
        <w:t>住宅在建筑主体结构外同一方向上只能设置一处空中花园且空中花园总数不超过两个。每层建筑只能设置一处公共休闲平台。</w:t>
      </w:r>
      <w:r>
        <w:rPr>
          <w:rFonts w:hint="eastAsia" w:ascii="仿宋" w:hAnsi="仿宋" w:eastAsia="仿宋" w:cs="仿宋"/>
          <w:b/>
          <w:color w:val="FF0000"/>
          <w:sz w:val="32"/>
          <w:szCs w:val="32"/>
          <w:shd w:val="clear" w:color="auto" w:fill="FFFFFF"/>
        </w:rPr>
        <w:t xml:space="preserve"> </w:t>
      </w:r>
    </w:p>
    <w:p w14:paraId="02FEA9E6">
      <w:pPr>
        <w:numPr>
          <w:ilvl w:val="0"/>
          <w:numId w:val="1"/>
        </w:numPr>
        <w:spacing w:line="60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户属空中花园建设形式：</w:t>
      </w:r>
    </w:p>
    <w:p w14:paraId="68BDC27B">
      <w:pPr>
        <w:spacing w:line="600" w:lineRule="exact"/>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1、户属空中花园应设置于住宅建筑主体结构外、不得延伸至主体结构空间内，其空间高度应不小于两个自然层高度，外挑尺寸不小于2.4米且不大于4.2米。相邻上下层设置的空中花园在水平投影范围内不应重叠。</w:t>
      </w:r>
    </w:p>
    <w:p w14:paraId="3C4E0E84">
      <w:pPr>
        <w:spacing w:line="600" w:lineRule="exact"/>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户属空中花园四周应有不少于2个完整的开敞面，连续开敞面应不少于其周长的40%。开敞面不得设置维护墙体，不得封闭，临空处应设置栏杆、或通透式栏板等安全防护构件，便于直接采光通风，其高度强度应满足相关规范要求，确保使用安全。</w:t>
      </w:r>
    </w:p>
    <w:p w14:paraId="40D947CD">
      <w:pPr>
        <w:spacing w:line="600" w:lineRule="exact"/>
        <w:ind w:firstLine="640" w:firstLineChars="200"/>
        <w:jc w:val="left"/>
        <w:rPr>
          <w:rFonts w:ascii="仿宋" w:hAnsi="仿宋" w:eastAsia="仿宋" w:cs="仿宋"/>
          <w:b/>
          <w:color w:val="FF0000"/>
          <w:sz w:val="32"/>
          <w:szCs w:val="32"/>
          <w:shd w:val="clear" w:color="auto" w:fill="FFFFFF"/>
        </w:rPr>
      </w:pPr>
      <w:r>
        <w:rPr>
          <w:rFonts w:hint="eastAsia" w:ascii="仿宋" w:hAnsi="仿宋" w:eastAsia="仿宋" w:cs="仿宋"/>
          <w:sz w:val="32"/>
          <w:szCs w:val="32"/>
          <w:shd w:val="clear" w:color="auto" w:fill="FFFFFF"/>
        </w:rPr>
        <w:t>3、</w:t>
      </w:r>
      <w:r>
        <w:rPr>
          <w:rFonts w:hint="eastAsia" w:ascii="仿宋" w:hAnsi="仿宋" w:eastAsia="仿宋" w:cs="仿宋"/>
          <w:kern w:val="0"/>
          <w:sz w:val="32"/>
          <w:szCs w:val="32"/>
          <w:shd w:val="clear" w:color="auto" w:fill="FFFFFF"/>
          <w:lang w:bidi="ar"/>
        </w:rPr>
        <w:t>户属空中花园水平总投影面积不超过该套住宅建筑面积的25%，且不大于40平方米。</w:t>
      </w:r>
    </w:p>
    <w:p w14:paraId="276AA330">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w:t>
      </w:r>
      <w:r>
        <w:rPr>
          <w:rFonts w:hint="eastAsia" w:ascii="仿宋" w:hAnsi="仿宋" w:eastAsia="仿宋" w:cs="仿宋"/>
          <w:sz w:val="32"/>
          <w:szCs w:val="32"/>
          <w:shd w:val="clear" w:color="auto" w:fill="FFFFFF"/>
          <w:lang w:bidi="ar"/>
        </w:rPr>
        <w:t>户属空中花园内及上空不得设置阳台、设备板等。空中</w:t>
      </w:r>
      <w:r>
        <w:rPr>
          <w:rFonts w:hint="eastAsia" w:ascii="仿宋" w:hAnsi="仿宋" w:eastAsia="仿宋" w:cs="仿宋"/>
          <w:sz w:val="32"/>
          <w:szCs w:val="32"/>
          <w:shd w:val="clear" w:color="auto" w:fill="FFFFFF"/>
        </w:rPr>
        <w:t>花园设计应充分考虑住户私密性及安全防盗要求，宜设置视线遮挡及满足安全要求的隔离设施。</w:t>
      </w:r>
    </w:p>
    <w:p w14:paraId="359AB19B">
      <w:pPr>
        <w:numPr>
          <w:ilvl w:val="0"/>
          <w:numId w:val="1"/>
        </w:numPr>
        <w:spacing w:line="60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公共休闲平台建设形式（可选建设项）：</w:t>
      </w:r>
    </w:p>
    <w:p w14:paraId="3789CE2E">
      <w:pPr>
        <w:pStyle w:val="7"/>
        <w:widowControl/>
        <w:numPr>
          <w:ilvl w:val="0"/>
          <w:numId w:val="2"/>
        </w:numPr>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公共休闲平台为一定数量住户（原则上不少于4户）提供休闲娱乐空间，宜设置于紧邻单元交通核的公共区域，不得与户属空中花园相邻设置，不得与户内空间开门联通。其平面布局不应影响建筑的正常使用，且不得影响主体房间的采光。</w:t>
      </w:r>
    </w:p>
    <w:p w14:paraId="4B79E50C">
      <w:pPr>
        <w:pStyle w:val="11"/>
        <w:numPr>
          <w:ilvl w:val="0"/>
          <w:numId w:val="0"/>
        </w:numPr>
        <w:spacing w:line="600" w:lineRule="exact"/>
        <w:ind w:firstLine="640" w:firstLineChars="200"/>
        <w:jc w:val="left"/>
        <w:rPr>
          <w:rFonts w:ascii="仿宋" w:hAnsi="仿宋" w:eastAsia="仿宋" w:cs="仿宋"/>
          <w:b/>
          <w:color w:val="FF0000"/>
          <w:kern w:val="0"/>
          <w:sz w:val="32"/>
          <w:szCs w:val="32"/>
          <w:shd w:val="clear" w:color="auto" w:fill="FFFFFF"/>
          <w:lang w:bidi="ar"/>
        </w:rPr>
      </w:pP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公共休闲平台层高不小于两个自然层高，每个公共休闲平台其水平投影面积不超过服务住宅套内总建筑面积的10%，且不大于50平方米。</w:t>
      </w:r>
    </w:p>
    <w:p w14:paraId="0791E561">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公共休闲平台应具有多个不封闭的采光通风面的总长度不得低于公共休闲平台周长的三分之一，开敞面设置的栏杆、或通透式栏板等安全防护构件，其高度强度应满足相关规范要求。中间不得预留后期可改造增设楼板的围护结构或横竖向结构构件。</w:t>
      </w:r>
    </w:p>
    <w:p w14:paraId="605304BF">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（四）绿化种植要求:</w:t>
      </w:r>
    </w:p>
    <w:p w14:paraId="06F1B081">
      <w:pPr>
        <w:spacing w:line="600" w:lineRule="exact"/>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1、户属空中花园绿化种植区面积不小于该空中花园水平投影面积的50%，应在图纸中标明位置区域，设计应满足结构安全性、抗渗性、耐久性、抗风等要求。</w:t>
      </w:r>
    </w:p>
    <w:p w14:paraId="65495013">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2、绿化种植区域覆土深度不小于0.6米的要求，并设有完整的灌溉、排水系统，满足植物生长环境要求。</w:t>
      </w:r>
    </w:p>
    <w:p w14:paraId="05AD3A83">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3、立体生态住宅种植绿化应因地制宜合理选择植物品种，平台绿化栽植选取应满足相应设计规范要求，确保安全和景观效果。</w:t>
      </w:r>
    </w:p>
    <w:p w14:paraId="0063C355">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五）立体生态住宅的首层除必要的楼电梯间、门厅和消防控制室外，宜采用整体架空，架空层层高应≥3.6米。架空区域应满足视线通透，空间开敞，便捷可达，作为休闲、健身、娱乐和绿化等公共空间使用。交付使用后不得进行围挡和改变用途，且架空区域不得设置非机动车充电设施。</w:t>
      </w:r>
    </w:p>
    <w:p w14:paraId="7C61F008">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（六）立体生态住宅户属空中花园、公共休闲平台的布局形式和建筑造型应与主体建筑和谐统一，景观工程应与建筑工程整体设计、统一管理，确保建筑风貌整体协调美观。</w:t>
      </w:r>
    </w:p>
    <w:p w14:paraId="37AE7266">
      <w:pPr>
        <w:pStyle w:val="7"/>
        <w:widowControl/>
        <w:spacing w:beforeAutospacing="0" w:afterAutospacing="0" w:line="600" w:lineRule="exact"/>
        <w:ind w:firstLine="960" w:firstLineChars="300"/>
        <w:jc w:val="both"/>
        <w:rPr>
          <w:rFonts w:ascii="Calibri" w:hAnsi="Calibri" w:eastAsia="黑体" w:cs="Calibri"/>
          <w:sz w:val="21"/>
          <w:szCs w:val="21"/>
        </w:rPr>
      </w:pPr>
      <w:r>
        <w:rPr>
          <w:rFonts w:hint="eastAsia" w:ascii="黑体" w:hAnsi="宋体" w:eastAsia="黑体" w:cs="黑体"/>
          <w:kern w:val="2"/>
          <w:sz w:val="32"/>
          <w:szCs w:val="32"/>
          <w:shd w:val="clear" w:color="auto" w:fill="FFFFFF"/>
        </w:rPr>
        <w:t>五、支持政策</w:t>
      </w:r>
    </w:p>
    <w:p w14:paraId="7645EDF0">
      <w:pPr>
        <w:pStyle w:val="7"/>
        <w:widowControl/>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户属空中花园、公共休闲平台和首层架空公共空间在满足建设标准和要求的前提下，计入建筑面积，不计容积率和产权面积，并单独标注。在建设工程规划许可证、房屋销售合同、不动产权证书及相关测绘成果中备注功能及面积。</w:t>
      </w:r>
    </w:p>
    <w:p w14:paraId="75BC40B2">
      <w:pPr>
        <w:widowControl/>
        <w:wordWrap w:val="0"/>
        <w:spacing w:line="560" w:lineRule="atLeas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(二）立体生态住宅建筑密度按首层建筑基底面积进行计算。绿化平台、公共休闲平台设计在首层时，应计入基底面积计算。</w:t>
      </w:r>
    </w:p>
    <w:p w14:paraId="728E343E">
      <w:pPr>
        <w:widowControl/>
        <w:wordWrap w:val="0"/>
        <w:spacing w:line="560" w:lineRule="atLeast"/>
        <w:ind w:firstLine="640" w:firstLineChars="200"/>
        <w:rPr>
          <w:rFonts w:ascii="仿宋" w:hAnsi="仿宋" w:eastAsia="仿宋" w:cs="仿宋"/>
          <w:kern w:val="0"/>
          <w:sz w:val="32"/>
          <w:szCs w:val="32"/>
          <w:shd w:val="clear" w:color="auto" w:fill="FFFFFF"/>
          <w:lang w:bidi="ar"/>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三</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立体生态</w:t>
      </w:r>
      <w:r>
        <w:rPr>
          <w:rFonts w:hint="eastAsia" w:ascii="仿宋" w:hAnsi="仿宋" w:eastAsia="仿宋" w:cs="仿宋"/>
          <w:sz w:val="32"/>
          <w:szCs w:val="32"/>
          <w:shd w:val="clear" w:color="auto" w:fill="FFFFFF"/>
          <w:lang w:val="en-US" w:eastAsia="zh-CN"/>
        </w:rPr>
        <w:t>住宅</w:t>
      </w:r>
      <w:r>
        <w:rPr>
          <w:rFonts w:hint="eastAsia" w:ascii="仿宋" w:hAnsi="仿宋" w:eastAsia="仿宋" w:cs="仿宋"/>
          <w:sz w:val="32"/>
          <w:szCs w:val="32"/>
          <w:shd w:val="clear" w:color="auto" w:fill="FFFFFF"/>
        </w:rPr>
        <w:t>建筑的空中绿化面积按20%折算计入项目绿化指标，但不得超出项目总绿地面积的20%。</w:t>
      </w:r>
    </w:p>
    <w:p w14:paraId="7E1FC851">
      <w:pPr>
        <w:widowControl/>
        <w:wordWrap w:val="0"/>
        <w:spacing w:line="56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四</w:t>
      </w:r>
      <w:r>
        <w:rPr>
          <w:rFonts w:hint="eastAsia" w:ascii="仿宋" w:hAnsi="仿宋" w:eastAsia="仿宋" w:cs="仿宋"/>
          <w:sz w:val="32"/>
          <w:szCs w:val="32"/>
          <w:shd w:val="clear" w:color="auto" w:fill="FFFFFF"/>
        </w:rPr>
        <w:t>）在满足日照、消防、安全距离规定要求的前提下，地块内立体生态住宅之间的间距及建筑面宽按户属空中花园和公共休闲平台投影进深尺寸的二分之一范围线进行计算。立体生态住宅与地块外建筑及与地块内非立体生态住宅建筑的间距，以及立体生态住宅退让用地红线、道路红线、绿地等距离应按照户属空中花园和公共休闲平台的最外边缘计算。</w:t>
      </w:r>
    </w:p>
    <w:p w14:paraId="5D91346F">
      <w:pPr>
        <w:widowControl/>
        <w:wordWrap w:val="0"/>
        <w:spacing w:line="56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五</w:t>
      </w:r>
      <w:r>
        <w:rPr>
          <w:rFonts w:hint="eastAsia" w:ascii="仿宋" w:hAnsi="仿宋" w:eastAsia="仿宋" w:cs="仿宋"/>
          <w:sz w:val="32"/>
          <w:szCs w:val="32"/>
          <w:shd w:val="clear" w:color="auto" w:fill="FFFFFF"/>
        </w:rPr>
        <w:t>）建筑日照应当符合现行国家、省、市日照分析有关规定，并按以下原则进行计算：当立体生态住宅为遮挡物时，日照计算的遮挡面(计算基准面)为户属空中花园和公共休闲平台的最外边缘；当立体生态住宅为被遮挡物或自遮挡时，日照计算的被遮挡面应为建筑物主体外边缘。若首层不采用架空形式，设置于户属空中花园、公共休闲平台下的一层户型窗户视为不满足日照条件，其户型其他窗户必须满足日照要求。</w:t>
      </w:r>
    </w:p>
    <w:p w14:paraId="41345ADE">
      <w:pPr>
        <w:pStyle w:val="7"/>
        <w:widowControl/>
        <w:spacing w:beforeAutospacing="0" w:afterAutospacing="0" w:line="600" w:lineRule="exact"/>
        <w:ind w:firstLine="640"/>
        <w:jc w:val="both"/>
        <w:rPr>
          <w:rFonts w:ascii="黑体" w:hAnsi="宋体" w:eastAsia="黑体" w:cs="黑体"/>
          <w:kern w:val="2"/>
          <w:sz w:val="32"/>
          <w:szCs w:val="32"/>
          <w:shd w:val="clear" w:color="auto" w:fill="FFFFFF"/>
        </w:rPr>
      </w:pPr>
      <w:r>
        <w:rPr>
          <w:rFonts w:hint="eastAsia" w:ascii="黑体" w:hAnsi="宋体" w:eastAsia="黑体" w:cs="黑体"/>
          <w:kern w:val="2"/>
          <w:sz w:val="32"/>
          <w:szCs w:val="32"/>
          <w:shd w:val="clear" w:color="auto" w:fill="FFFFFF"/>
        </w:rPr>
        <w:t>六、管理要求</w:t>
      </w:r>
    </w:p>
    <w:p w14:paraId="0E2E871C">
      <w:pPr>
        <w:pStyle w:val="7"/>
        <w:widowControl/>
        <w:numPr>
          <w:ilvl w:val="0"/>
          <w:numId w:val="3"/>
        </w:numPr>
        <w:spacing w:beforeAutospacing="0" w:afterAutospacing="0" w:line="600" w:lineRule="exact"/>
        <w:jc w:val="both"/>
        <w:rPr>
          <w:rFonts w:ascii="仿宋" w:hAnsi="仿宋" w:eastAsia="仿宋" w:cs="仿宋"/>
          <w:sz w:val="32"/>
          <w:szCs w:val="32"/>
          <w:shd w:val="clear" w:color="auto" w:fill="FFFFFF"/>
        </w:rPr>
      </w:pPr>
      <w:r>
        <w:rPr>
          <w:rFonts w:ascii="仿宋" w:hAnsi="仿宋" w:eastAsia="仿宋" w:cs="仿宋"/>
          <w:sz w:val="32"/>
          <w:szCs w:val="32"/>
          <w:shd w:val="clear" w:color="auto" w:fill="FFFFFF"/>
        </w:rPr>
        <w:t>立体生态住宅建筑的</w:t>
      </w:r>
      <w:r>
        <w:rPr>
          <w:rFonts w:hint="eastAsia" w:ascii="仿宋" w:hAnsi="仿宋" w:eastAsia="仿宋" w:cs="仿宋"/>
          <w:sz w:val="32"/>
          <w:szCs w:val="32"/>
          <w:shd w:val="clear" w:color="auto" w:fill="FFFFFF"/>
        </w:rPr>
        <w:t>空中花园</w:t>
      </w:r>
      <w:r>
        <w:rPr>
          <w:rFonts w:ascii="仿宋" w:hAnsi="仿宋" w:eastAsia="仿宋" w:cs="仿宋"/>
          <w:sz w:val="32"/>
          <w:szCs w:val="32"/>
          <w:shd w:val="clear" w:color="auto" w:fill="FFFFFF"/>
        </w:rPr>
        <w:t>及公共</w:t>
      </w:r>
      <w:r>
        <w:rPr>
          <w:rFonts w:hint="eastAsia" w:ascii="仿宋" w:hAnsi="仿宋" w:eastAsia="仿宋" w:cs="仿宋"/>
          <w:sz w:val="32"/>
          <w:szCs w:val="32"/>
          <w:shd w:val="clear" w:color="auto" w:fill="FFFFFF"/>
        </w:rPr>
        <w:t>休闲</w:t>
      </w:r>
      <w:r>
        <w:rPr>
          <w:rFonts w:ascii="仿宋" w:hAnsi="仿宋" w:eastAsia="仿宋" w:cs="仿宋"/>
          <w:sz w:val="32"/>
          <w:szCs w:val="32"/>
          <w:shd w:val="clear" w:color="auto" w:fill="FFFFFF"/>
        </w:rPr>
        <w:t>平台</w:t>
      </w:r>
      <w:r>
        <w:rPr>
          <w:rFonts w:hint="eastAsia" w:ascii="仿宋" w:hAnsi="仿宋" w:eastAsia="仿宋" w:cs="仿宋"/>
          <w:sz w:val="32"/>
          <w:szCs w:val="32"/>
          <w:shd w:val="clear" w:color="auto" w:fill="FFFFFF"/>
        </w:rPr>
        <w:t>应</w:t>
      </w:r>
      <w:r>
        <w:rPr>
          <w:rFonts w:ascii="仿宋" w:hAnsi="仿宋" w:eastAsia="仿宋" w:cs="仿宋"/>
          <w:sz w:val="32"/>
          <w:szCs w:val="32"/>
          <w:shd w:val="clear" w:color="auto" w:fill="FFFFFF"/>
        </w:rPr>
        <w:t>与主体建筑同步规划、同步实施、同步验收，确保每户、每栋楼的</w:t>
      </w:r>
      <w:r>
        <w:rPr>
          <w:rFonts w:hint="eastAsia" w:ascii="仿宋" w:hAnsi="仿宋" w:eastAsia="仿宋" w:cs="仿宋"/>
          <w:sz w:val="32"/>
          <w:szCs w:val="32"/>
          <w:shd w:val="clear" w:color="auto" w:fill="FFFFFF"/>
        </w:rPr>
        <w:t>空中花园</w:t>
      </w:r>
      <w:r>
        <w:rPr>
          <w:rFonts w:ascii="仿宋" w:hAnsi="仿宋" w:eastAsia="仿宋" w:cs="仿宋"/>
          <w:sz w:val="32"/>
          <w:szCs w:val="32"/>
          <w:shd w:val="clear" w:color="auto" w:fill="FFFFFF"/>
        </w:rPr>
        <w:t>整体协调美观。</w:t>
      </w:r>
    </w:p>
    <w:p w14:paraId="5FAD415E">
      <w:pPr>
        <w:pStyle w:val="7"/>
        <w:widowControl/>
        <w:numPr>
          <w:ilvl w:val="0"/>
          <w:numId w:val="3"/>
        </w:numPr>
        <w:spacing w:beforeAutospacing="0" w:afterAutospacing="0" w:line="600" w:lineRule="exact"/>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建设单位在报审</w:t>
      </w:r>
      <w:r>
        <w:rPr>
          <w:rFonts w:ascii="仿宋" w:hAnsi="仿宋" w:eastAsia="仿宋" w:cs="仿宋"/>
          <w:sz w:val="32"/>
          <w:szCs w:val="32"/>
          <w:shd w:val="clear" w:color="auto" w:fill="FFFFFF"/>
        </w:rPr>
        <w:t>立体生态住宅</w:t>
      </w:r>
      <w:r>
        <w:rPr>
          <w:rFonts w:hint="eastAsia" w:ascii="仿宋" w:hAnsi="仿宋" w:eastAsia="仿宋" w:cs="仿宋"/>
          <w:sz w:val="32"/>
          <w:szCs w:val="32"/>
          <w:shd w:val="clear" w:color="auto" w:fill="FFFFFF"/>
        </w:rPr>
        <w:t>建设工程</w:t>
      </w:r>
      <w:r>
        <w:rPr>
          <w:rFonts w:ascii="仿宋" w:hAnsi="仿宋" w:eastAsia="仿宋" w:cs="仿宋"/>
          <w:sz w:val="32"/>
          <w:szCs w:val="32"/>
          <w:shd w:val="clear" w:color="auto" w:fill="FFFFFF"/>
        </w:rPr>
        <w:t>设计方案的同时，应同步提交户属空中花园及公共</w:t>
      </w:r>
      <w:r>
        <w:rPr>
          <w:rFonts w:hint="eastAsia" w:ascii="仿宋" w:hAnsi="仿宋" w:eastAsia="仿宋" w:cs="仿宋"/>
          <w:sz w:val="32"/>
          <w:szCs w:val="32"/>
          <w:shd w:val="clear" w:color="auto" w:fill="FFFFFF"/>
        </w:rPr>
        <w:t>共休闲</w:t>
      </w:r>
      <w:r>
        <w:rPr>
          <w:rFonts w:ascii="仿宋" w:hAnsi="仿宋" w:eastAsia="仿宋" w:cs="仿宋"/>
          <w:sz w:val="32"/>
          <w:szCs w:val="32"/>
          <w:shd w:val="clear" w:color="auto" w:fill="FFFFFF"/>
        </w:rPr>
        <w:t>平台的景观绿化专项设计方案</w:t>
      </w:r>
      <w:r>
        <w:rPr>
          <w:rFonts w:hint="eastAsia" w:ascii="仿宋" w:hAnsi="仿宋" w:eastAsia="仿宋" w:cs="仿宋"/>
          <w:sz w:val="32"/>
          <w:szCs w:val="32"/>
          <w:shd w:val="clear" w:color="auto" w:fill="FFFFFF"/>
        </w:rPr>
        <w:t>报城市管理执法部门</w:t>
      </w:r>
      <w:r>
        <w:rPr>
          <w:rFonts w:ascii="仿宋" w:hAnsi="仿宋" w:eastAsia="仿宋" w:cs="仿宋"/>
          <w:sz w:val="32"/>
          <w:szCs w:val="32"/>
          <w:shd w:val="clear" w:color="auto" w:fill="FFFFFF"/>
        </w:rPr>
        <w:t>审查，方案应充分考虑绿化种植方式、防火、防坠落和各类极端天气等防护措施</w:t>
      </w:r>
      <w:r>
        <w:rPr>
          <w:rFonts w:hint="eastAsia" w:ascii="仿宋" w:hAnsi="仿宋" w:eastAsia="仿宋" w:cs="仿宋"/>
          <w:sz w:val="32"/>
          <w:szCs w:val="32"/>
          <w:shd w:val="clear" w:color="auto" w:fill="FFFFFF"/>
        </w:rPr>
        <w:t>。建设单位应依法依规建设、销售，并及时准确地向购房者及物业管理单位说明关于户属空中花园和公共休闲平台用途，严禁误导性宣传。房屋销售合同应当明确户属空中花园和公共休闲平台的用途、购房业主和物业服务企业的管理维护义务，并取得购房业主不私自改变用途的承诺书。建设单位及业主应按照规划要求使用、管理，不得违法违规封闭、擅自破坏占用户属空中花园和公共休闲平台。</w:t>
      </w:r>
    </w:p>
    <w:p w14:paraId="4C9839E1">
      <w:pPr>
        <w:pStyle w:val="7"/>
        <w:widowControl/>
        <w:numPr>
          <w:ilvl w:val="0"/>
          <w:numId w:val="3"/>
        </w:numPr>
        <w:shd w:val="clear" w:color="auto" w:fill="FFFFFF"/>
        <w:spacing w:beforeAutospacing="0" w:afterAutospacing="0" w:line="600" w:lineRule="exact"/>
        <w:jc w:val="both"/>
        <w:rPr>
          <w:rFonts w:ascii="仿宋" w:hAnsi="仿宋" w:eastAsia="仿宋" w:cs="仿宋"/>
          <w:sz w:val="32"/>
          <w:szCs w:val="32"/>
          <w:shd w:val="clear" w:color="auto" w:fill="FFFFFF"/>
        </w:rPr>
      </w:pPr>
      <w:r>
        <w:rPr>
          <w:rFonts w:ascii="仿宋" w:hAnsi="仿宋" w:eastAsia="仿宋" w:cs="仿宋"/>
          <w:sz w:val="32"/>
          <w:szCs w:val="32"/>
          <w:shd w:val="clear" w:color="auto" w:fill="FFFFFF"/>
        </w:rPr>
        <w:t>市自然资源</w:t>
      </w:r>
      <w:r>
        <w:rPr>
          <w:rFonts w:hint="eastAsia" w:ascii="仿宋" w:hAnsi="仿宋" w:eastAsia="仿宋" w:cs="仿宋"/>
          <w:sz w:val="32"/>
          <w:szCs w:val="32"/>
          <w:shd w:val="clear" w:color="auto" w:fill="FFFFFF"/>
        </w:rPr>
        <w:t>和规划</w:t>
      </w:r>
      <w:r>
        <w:rPr>
          <w:rFonts w:ascii="仿宋" w:hAnsi="仿宋" w:eastAsia="仿宋" w:cs="仿宋"/>
          <w:sz w:val="32"/>
          <w:szCs w:val="32"/>
          <w:shd w:val="clear" w:color="auto" w:fill="FFFFFF"/>
        </w:rPr>
        <w:t>局、市</w:t>
      </w:r>
      <w:r>
        <w:rPr>
          <w:rFonts w:hint="eastAsia" w:ascii="仿宋" w:hAnsi="仿宋" w:eastAsia="仿宋" w:cs="仿宋"/>
          <w:sz w:val="32"/>
          <w:szCs w:val="32"/>
          <w:shd w:val="clear" w:color="auto" w:fill="FFFFFF"/>
        </w:rPr>
        <w:t>住房和城乡建设</w:t>
      </w:r>
      <w:r>
        <w:rPr>
          <w:rFonts w:ascii="仿宋" w:hAnsi="仿宋" w:eastAsia="仿宋" w:cs="仿宋"/>
          <w:sz w:val="32"/>
          <w:szCs w:val="32"/>
          <w:shd w:val="clear" w:color="auto" w:fill="FFFFFF"/>
        </w:rPr>
        <w:t>局、市</w:t>
      </w:r>
      <w:r>
        <w:rPr>
          <w:rFonts w:hint="eastAsia" w:ascii="仿宋" w:hAnsi="仿宋" w:eastAsia="仿宋" w:cs="仿宋"/>
          <w:sz w:val="32"/>
          <w:szCs w:val="32"/>
          <w:shd w:val="clear" w:color="auto" w:fill="FFFFFF"/>
        </w:rPr>
        <w:t>城市管理执法局和市行政审批服务局</w:t>
      </w:r>
      <w:r>
        <w:rPr>
          <w:rFonts w:ascii="仿宋" w:hAnsi="仿宋" w:eastAsia="仿宋" w:cs="仿宋"/>
          <w:sz w:val="32"/>
          <w:szCs w:val="32"/>
          <w:shd w:val="clear" w:color="auto" w:fill="FFFFFF"/>
        </w:rPr>
        <w:t>等部门，按照各自的工作职责做好立体生态住宅建筑项目的推进和监管</w:t>
      </w:r>
      <w:r>
        <w:rPr>
          <w:rFonts w:hint="eastAsia" w:ascii="仿宋" w:hAnsi="仿宋" w:eastAsia="仿宋" w:cs="仿宋"/>
          <w:sz w:val="32"/>
          <w:szCs w:val="32"/>
          <w:shd w:val="clear" w:color="auto" w:fill="FFFFFF"/>
        </w:rPr>
        <w:t>工作。</w:t>
      </w:r>
    </w:p>
    <w:p w14:paraId="3314D8D1">
      <w:pPr>
        <w:pStyle w:val="7"/>
        <w:widowControl/>
        <w:numPr>
          <w:ilvl w:val="0"/>
          <w:numId w:val="0"/>
        </w:numPr>
        <w:shd w:val="clear" w:color="auto" w:fill="FFFFFF"/>
        <w:spacing w:beforeAutospacing="0" w:afterAutospacing="0" w:line="600" w:lineRule="exact"/>
        <w:ind w:firstLine="640" w:firstLineChars="200"/>
        <w:jc w:val="both"/>
        <w:rPr>
          <w:rFonts w:hint="eastAsia" w:ascii="仿宋" w:hAnsi="仿宋" w:eastAsia="仿宋" w:cs="仿宋"/>
          <w:sz w:val="32"/>
          <w:szCs w:val="32"/>
          <w:shd w:val="clear" w:color="auto" w:fill="FFFFFF"/>
        </w:rPr>
      </w:pPr>
      <w:r>
        <w:rPr>
          <w:rFonts w:ascii="仿宋" w:hAnsi="仿宋" w:eastAsia="仿宋" w:cs="仿宋"/>
          <w:sz w:val="32"/>
          <w:szCs w:val="32"/>
          <w:shd w:val="clear" w:color="auto" w:fill="FFFFFF"/>
        </w:rPr>
        <w:t>市自然资源</w:t>
      </w:r>
      <w:r>
        <w:rPr>
          <w:rFonts w:hint="eastAsia" w:ascii="仿宋" w:hAnsi="仿宋" w:eastAsia="仿宋" w:cs="仿宋"/>
          <w:sz w:val="32"/>
          <w:szCs w:val="32"/>
          <w:shd w:val="clear" w:color="auto" w:fill="FFFFFF"/>
        </w:rPr>
        <w:t>和规划</w:t>
      </w:r>
      <w:r>
        <w:rPr>
          <w:rFonts w:ascii="仿宋" w:hAnsi="仿宋" w:eastAsia="仿宋" w:cs="仿宋"/>
          <w:sz w:val="32"/>
          <w:szCs w:val="32"/>
          <w:shd w:val="clear" w:color="auto" w:fill="FFFFFF"/>
        </w:rPr>
        <w:t>局</w:t>
      </w:r>
      <w:r>
        <w:rPr>
          <w:rFonts w:hint="eastAsia" w:ascii="仿宋" w:hAnsi="仿宋" w:eastAsia="仿宋" w:cs="仿宋"/>
          <w:sz w:val="32"/>
          <w:szCs w:val="32"/>
          <w:shd w:val="clear" w:color="auto" w:fill="FFFFFF"/>
        </w:rPr>
        <w:t>要按照立体生态住宅建筑建设要求做好建设工程规划方案审查工作。</w:t>
      </w:r>
    </w:p>
    <w:p w14:paraId="2978B6B3">
      <w:pPr>
        <w:pStyle w:val="7"/>
        <w:widowControl/>
        <w:numPr>
          <w:ilvl w:val="0"/>
          <w:numId w:val="0"/>
        </w:numPr>
        <w:shd w:val="clear" w:color="auto" w:fill="FFFFFF"/>
        <w:spacing w:beforeAutospacing="0" w:afterAutospacing="0" w:line="60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市住房和城乡建设局要按照立体生态住宅建筑建设要求做好施工图案审查及工程质量监督管理工作；负责监督开发建设单位将户属空中花园和公共休闲平台的交付标准、用途及业主、物业服务企业相关义务和责任纳入房屋销售合同和物业服务合同，履行告知责任，负责监督物业服务企业加强日常管理，对破坏、封闭或改建户属空中花园和公共休闲平台的行为，物业服务企业要及时进行劝止，对拒不改正的，及时报告执法部门进行依法查处。</w:t>
      </w:r>
    </w:p>
    <w:p w14:paraId="1786B0BC">
      <w:pPr>
        <w:pStyle w:val="7"/>
        <w:widowControl/>
        <w:numPr>
          <w:ilvl w:val="0"/>
          <w:numId w:val="0"/>
        </w:numPr>
        <w:shd w:val="clear" w:color="auto" w:fill="FFFFFF"/>
        <w:spacing w:beforeAutospacing="0" w:afterAutospacing="0" w:line="600" w:lineRule="exact"/>
        <w:ind w:firstLine="640" w:firstLineChars="200"/>
        <w:jc w:val="both"/>
        <w:rPr>
          <w:rFonts w:hint="eastAsia" w:ascii="仿宋" w:hAnsi="仿宋" w:eastAsia="仿宋" w:cs="仿宋"/>
          <w:sz w:val="32"/>
          <w:szCs w:val="32"/>
          <w:shd w:val="clear" w:color="auto" w:fill="FFFFFF"/>
        </w:rPr>
      </w:pPr>
      <w:r>
        <w:rPr>
          <w:rFonts w:ascii="仿宋" w:hAnsi="仿宋" w:eastAsia="仿宋" w:cs="仿宋"/>
          <w:sz w:val="32"/>
          <w:szCs w:val="32"/>
          <w:shd w:val="clear" w:color="auto" w:fill="FFFFFF"/>
        </w:rPr>
        <w:t>市</w:t>
      </w:r>
      <w:r>
        <w:rPr>
          <w:rFonts w:hint="eastAsia" w:ascii="仿宋" w:hAnsi="仿宋" w:eastAsia="仿宋" w:cs="仿宋"/>
          <w:sz w:val="32"/>
          <w:szCs w:val="32"/>
          <w:shd w:val="clear" w:color="auto" w:fill="FFFFFF"/>
        </w:rPr>
        <w:t>城市管理执法局要按照立体生态住宅建筑建设要求做好绿化设计方案审查工作和绿化实施专项验收工作；加强日常动态巡查，对擅自破坏、封闭或改建的，及时进行制止并依法查处。</w:t>
      </w:r>
    </w:p>
    <w:p w14:paraId="50790E21">
      <w:pPr>
        <w:pStyle w:val="7"/>
        <w:widowControl/>
        <w:numPr>
          <w:ilvl w:val="0"/>
          <w:numId w:val="0"/>
        </w:numPr>
        <w:shd w:val="clear" w:color="auto" w:fill="FFFFFF"/>
        <w:spacing w:beforeAutospacing="0" w:afterAutospacing="0" w:line="600" w:lineRule="exact"/>
        <w:ind w:firstLine="640" w:firstLineChars="2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市行政审批服务局按照审批规划方案严格户属空中花园和公共共享平台规划核实工作，不符合规划要求的不予核实通过。</w:t>
      </w:r>
    </w:p>
    <w:p w14:paraId="77957053">
      <w:pPr>
        <w:pStyle w:val="7"/>
        <w:widowControl/>
        <w:numPr>
          <w:ilvl w:val="0"/>
          <w:numId w:val="3"/>
        </w:numPr>
        <w:shd w:val="clear" w:color="auto" w:fill="FFFFFF"/>
        <w:spacing w:beforeAutospacing="0" w:afterAutospacing="0" w:line="600" w:lineRule="exact"/>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对于未出售的房屋，由该项目建设单位负责管理和维护户属空中花园和公共休闲平台。已售出但未装修或未入住的房屋由物业公司负责闲置期间的管理和维护，待业主入住后再行移交管护。</w:t>
      </w:r>
    </w:p>
    <w:p w14:paraId="6DA5A496">
      <w:pPr>
        <w:pStyle w:val="7"/>
        <w:widowControl/>
        <w:numPr>
          <w:ilvl w:val="0"/>
          <w:numId w:val="3"/>
        </w:numPr>
        <w:spacing w:beforeAutospacing="0" w:afterAutospacing="0" w:line="600" w:lineRule="exact"/>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本方案</w:t>
      </w:r>
      <w:r>
        <w:rPr>
          <w:rFonts w:ascii="仿宋" w:hAnsi="仿宋" w:eastAsia="仿宋" w:cs="仿宋"/>
          <w:sz w:val="32"/>
          <w:szCs w:val="32"/>
          <w:shd w:val="clear" w:color="auto" w:fill="FFFFFF"/>
        </w:rPr>
        <w:t>自印发之日起执行，有效期两年。</w:t>
      </w:r>
      <w:r>
        <w:rPr>
          <w:rFonts w:hint="eastAsia" w:ascii="仿宋" w:hAnsi="仿宋" w:eastAsia="仿宋" w:cs="仿宋"/>
          <w:sz w:val="32"/>
          <w:szCs w:val="32"/>
          <w:shd w:val="clear" w:color="auto" w:fill="FFFFFF"/>
        </w:rPr>
        <w:t>试行期间根据实际情况适时调整完善。各县、凤翔区可参照执行或结合当地实际制定实施方案。</w:t>
      </w:r>
    </w:p>
    <w:p w14:paraId="510FD031">
      <w:pPr>
        <w:rPr>
          <w:rFonts w:hint="eastAsia" w:eastAsiaTheme="minor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4CAB6A-8EF8-49F6-A73C-C265224F02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66F3C7B-E9C2-45EF-B09A-462C68172D87}"/>
  </w:font>
  <w:font w:name="仿宋">
    <w:panose1 w:val="02010609060101010101"/>
    <w:charset w:val="86"/>
    <w:family w:val="modern"/>
    <w:pitch w:val="default"/>
    <w:sig w:usb0="800002BF" w:usb1="38CF7CFA" w:usb2="00000016" w:usb3="00000000" w:csb0="00040001" w:csb1="00000000"/>
    <w:embedRegular r:id="rId3" w:fontKey="{EB40DF05-B2C4-4A6A-9CE0-9A373C21D4AD}"/>
  </w:font>
  <w:font w:name="微软雅黑">
    <w:panose1 w:val="020B0503020204020204"/>
    <w:charset w:val="86"/>
    <w:family w:val="swiss"/>
    <w:pitch w:val="default"/>
    <w:sig w:usb0="80000287" w:usb1="2ACF3C50" w:usb2="00000016" w:usb3="00000000" w:csb0="0004001F" w:csb1="00000000"/>
    <w:embedRegular r:id="rId4" w:fontKey="{1C425541-780D-4A0C-95C1-8263B8D031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4028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A2E1E">
                          <w:pPr>
                            <w:pStyle w:val="5"/>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asciiTheme="majorEastAsia" w:hAnsiTheme="majorEastAsia" w:eastAsiaTheme="majorEastAsia" w:cstheme="majorEastAsia"/>
                              <w:sz w:val="30"/>
                              <w:szCs w:val="30"/>
                            </w:rPr>
                            <w:t>- 1 -</w:t>
                          </w:r>
                          <w:r>
                            <w:rPr>
                              <w:rFonts w:hint="eastAsia" w:asciiTheme="majorEastAsia" w:hAnsiTheme="majorEastAsia" w:eastAsiaTheme="majorEastAsia" w:cstheme="major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AA2E1E">
                    <w:pPr>
                      <w:pStyle w:val="5"/>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asciiTheme="majorEastAsia" w:hAnsiTheme="majorEastAsia" w:eastAsiaTheme="majorEastAsia" w:cstheme="majorEastAsia"/>
                        <w:sz w:val="30"/>
                        <w:szCs w:val="30"/>
                      </w:rPr>
                      <w:t>- 1 -</w:t>
                    </w:r>
                    <w:r>
                      <w:rPr>
                        <w:rFonts w:hint="eastAsia" w:asciiTheme="majorEastAsia" w:hAnsiTheme="majorEastAsia" w:eastAsiaTheme="majorEastAsia" w:cstheme="majorEastAsia"/>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C4139"/>
    <w:multiLevelType w:val="singleLevel"/>
    <w:tmpl w:val="BA2C4139"/>
    <w:lvl w:ilvl="0" w:tentative="0">
      <w:start w:val="1"/>
      <w:numFmt w:val="chineseCounting"/>
      <w:suff w:val="nothing"/>
      <w:lvlText w:val="（%1）"/>
      <w:lvlJc w:val="left"/>
      <w:pPr>
        <w:ind w:left="0" w:firstLine="420"/>
      </w:pPr>
      <w:rPr>
        <w:rFonts w:hint="eastAsia"/>
      </w:rPr>
    </w:lvl>
  </w:abstractNum>
  <w:abstractNum w:abstractNumId="1">
    <w:nsid w:val="1AA20E2F"/>
    <w:multiLevelType w:val="singleLevel"/>
    <w:tmpl w:val="1AA20E2F"/>
    <w:lvl w:ilvl="0" w:tentative="0">
      <w:start w:val="1"/>
      <w:numFmt w:val="decimal"/>
      <w:suff w:val="nothing"/>
      <w:lvlText w:val="%1、"/>
      <w:lvlJc w:val="left"/>
      <w:rPr>
        <w:color w:val="auto"/>
      </w:rPr>
    </w:lvl>
  </w:abstractNum>
  <w:abstractNum w:abstractNumId="2">
    <w:nsid w:val="5924B820"/>
    <w:multiLevelType w:val="singleLevel"/>
    <w:tmpl w:val="5924B820"/>
    <w:lvl w:ilvl="0" w:tentative="0">
      <w:start w:val="1"/>
      <w:numFmt w:val="chineseCounting"/>
      <w:suff w:val="nothing"/>
      <w:lvlText w:val="（%1）"/>
      <w:lvlJc w:val="left"/>
      <w:pPr>
        <w:ind w:left="0" w:firstLine="420"/>
      </w:pPr>
      <w:rPr>
        <w:rFonts w:hint="eastAsia"/>
        <w:color w:val="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ODBiZTI5ODczNWU1NmFiZDVlOWVmZjE4YTdmMjkifQ=="/>
  </w:docVars>
  <w:rsids>
    <w:rsidRoot w:val="42997691"/>
    <w:rsid w:val="00044628"/>
    <w:rsid w:val="000F2B23"/>
    <w:rsid w:val="00115FE7"/>
    <w:rsid w:val="001E6404"/>
    <w:rsid w:val="008764DA"/>
    <w:rsid w:val="009E3FB0"/>
    <w:rsid w:val="00C07BEB"/>
    <w:rsid w:val="00C36B5B"/>
    <w:rsid w:val="00D27B37"/>
    <w:rsid w:val="00FD68DA"/>
    <w:rsid w:val="01740F95"/>
    <w:rsid w:val="023C1279"/>
    <w:rsid w:val="02FC6355"/>
    <w:rsid w:val="04A87616"/>
    <w:rsid w:val="08C16076"/>
    <w:rsid w:val="0AFF2E86"/>
    <w:rsid w:val="0CB306DE"/>
    <w:rsid w:val="12F60DBD"/>
    <w:rsid w:val="13834D7C"/>
    <w:rsid w:val="16612C47"/>
    <w:rsid w:val="17DD7908"/>
    <w:rsid w:val="19A4266C"/>
    <w:rsid w:val="1A6B5635"/>
    <w:rsid w:val="1B247B75"/>
    <w:rsid w:val="1B6B3188"/>
    <w:rsid w:val="1C8256C5"/>
    <w:rsid w:val="1FBB64FE"/>
    <w:rsid w:val="21E169EA"/>
    <w:rsid w:val="25E33337"/>
    <w:rsid w:val="26222154"/>
    <w:rsid w:val="29183639"/>
    <w:rsid w:val="2956003D"/>
    <w:rsid w:val="29F65A8B"/>
    <w:rsid w:val="2A624F0A"/>
    <w:rsid w:val="2D402BDC"/>
    <w:rsid w:val="2FEF6CB7"/>
    <w:rsid w:val="32351320"/>
    <w:rsid w:val="364A6431"/>
    <w:rsid w:val="3707513F"/>
    <w:rsid w:val="3CFE624A"/>
    <w:rsid w:val="3D0E0B83"/>
    <w:rsid w:val="3F4B7E11"/>
    <w:rsid w:val="411B3B1F"/>
    <w:rsid w:val="422F6EA6"/>
    <w:rsid w:val="42997691"/>
    <w:rsid w:val="4423026D"/>
    <w:rsid w:val="487E4AE0"/>
    <w:rsid w:val="4E0062C6"/>
    <w:rsid w:val="4E943A14"/>
    <w:rsid w:val="4E9D414B"/>
    <w:rsid w:val="4FD26522"/>
    <w:rsid w:val="50847E24"/>
    <w:rsid w:val="54EF499E"/>
    <w:rsid w:val="54F3408D"/>
    <w:rsid w:val="55BC7025"/>
    <w:rsid w:val="57EB3532"/>
    <w:rsid w:val="5B051169"/>
    <w:rsid w:val="5B5B309C"/>
    <w:rsid w:val="5BE9509D"/>
    <w:rsid w:val="5D05039E"/>
    <w:rsid w:val="5D4D26D7"/>
    <w:rsid w:val="5DE07695"/>
    <w:rsid w:val="5EDF073D"/>
    <w:rsid w:val="60FA7ECB"/>
    <w:rsid w:val="60FC1FF3"/>
    <w:rsid w:val="62015D11"/>
    <w:rsid w:val="644C3BBB"/>
    <w:rsid w:val="66047FF6"/>
    <w:rsid w:val="66092232"/>
    <w:rsid w:val="678418BE"/>
    <w:rsid w:val="687D42D2"/>
    <w:rsid w:val="6A146676"/>
    <w:rsid w:val="6CA67BE1"/>
    <w:rsid w:val="6EB20ABF"/>
    <w:rsid w:val="6F795485"/>
    <w:rsid w:val="70786F69"/>
    <w:rsid w:val="71686A51"/>
    <w:rsid w:val="737F3EE0"/>
    <w:rsid w:val="73F21AF1"/>
    <w:rsid w:val="74B83ED4"/>
    <w:rsid w:val="74F72EF3"/>
    <w:rsid w:val="75177870"/>
    <w:rsid w:val="7762504C"/>
    <w:rsid w:val="79415E38"/>
    <w:rsid w:val="7BC2430B"/>
    <w:rsid w:val="7CE24C65"/>
    <w:rsid w:val="7E905A6F"/>
    <w:rsid w:val="7FC6411C"/>
    <w:rsid w:val="EFD84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3047</Words>
  <Characters>3069</Characters>
  <Lines>26</Lines>
  <Paragraphs>7</Paragraphs>
  <TotalTime>145</TotalTime>
  <ScaleCrop>false</ScaleCrop>
  <LinksUpToDate>false</LinksUpToDate>
  <CharactersWithSpaces>3071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2025-08-23T17:16:00Z</dcterms:created>
  <dc:creator>Administrator</dc:creator>
  <cp:lastModifiedBy>五月天</cp:lastModifiedBy>
  <cp:lastPrinted>2025-08-26T06:47:00Z</cp:lastPrinted>
  <dcterms:modified xsi:type="dcterms:W3CDTF">2025-08-27T09:46:44Z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ABD262CC1B43405DA56940C0C672CB96_13</vt:lpwstr>
  </property>
  <property fmtid="{D5CDD505-2E9C-101B-9397-08002B2CF9AE}" pid="4" name="KSOTemplateDocerSaveRecord">
    <vt:lpwstr>eyJoZGlkIjoiYmU1MTA3NDFhNTY0YTgxN2NjOTJiODY2ZjhmNWNhNDgiLCJ1c2VySWQiOiI3ODUwMjg4NzEifQ==</vt:lpwstr>
  </property>
</Properties>
</file>