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Lines="0" w:line="600" w:lineRule="exact"/>
        <w:ind w:left="0" w:leftChars="0" w:right="0" w:rightChars="0"/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</w:pPr>
      <w:r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  <w:t>附件</w:t>
      </w:r>
      <w:r>
        <w:rPr>
          <w:rStyle w:val="7"/>
          <w:rFonts w:ascii="黑体" w:hAnsi="黑体"/>
          <w:bCs/>
          <w:iCs/>
          <w:color w:val="000000"/>
          <w:sz w:val="32"/>
          <w:szCs w:val="32"/>
        </w:rPr>
        <w:t>3</w:t>
      </w:r>
    </w:p>
    <w:p>
      <w:pPr>
        <w:pStyle w:val="4"/>
        <w:spacing w:beforeLines="0" w:afterLines="0" w:line="400" w:lineRule="exact"/>
        <w:ind w:left="0" w:leftChars="0" w:right="0" w:rightChars="0"/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</w:pPr>
    </w:p>
    <w:p>
      <w:pPr>
        <w:pStyle w:val="4"/>
        <w:spacing w:beforeLines="0" w:afterLines="0" w:line="600" w:lineRule="exact"/>
        <w:ind w:left="0" w:leftChars="0" w:right="0" w:rightChars="0"/>
        <w:jc w:val="center"/>
        <w:rPr>
          <w:rStyle w:val="7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  <w:t>级别基准地价</w:t>
      </w:r>
    </w:p>
    <w:bookmarkEnd w:id="0"/>
    <w:p>
      <w:pPr>
        <w:pStyle w:val="3"/>
        <w:adjustRightInd w:val="0"/>
        <w:snapToGrid w:val="0"/>
        <w:spacing w:beforeLines="0" w:after="48" w:afterLines="20" w:line="500" w:lineRule="exact"/>
        <w:ind w:left="1226" w:leftChars="0" w:right="320" w:hanging="1226" w:hangingChars="436"/>
        <w:jc w:val="center"/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表4  宝鸡市中心城区商服、住宅、工矿仓储用地级别基准地价表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91"/>
        <w:gridCol w:w="1264"/>
        <w:gridCol w:w="1104"/>
        <w:gridCol w:w="1146"/>
        <w:gridCol w:w="1147"/>
        <w:gridCol w:w="1092"/>
        <w:gridCol w:w="1202"/>
        <w:gridCol w:w="9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338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工业用地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仿宋_GB2312"/>
                <w:b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区域编号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5025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Ⅰ</w:t>
            </w:r>
            <w:r>
              <w:rPr>
                <w:rStyle w:val="8"/>
                <w:rFonts w:hint="eastAsia" w:ascii="仿宋_GB2312"/>
              </w:rPr>
              <w:t>1-2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975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Ⅰ</w:t>
            </w:r>
            <w:r>
              <w:rPr>
                <w:rStyle w:val="8"/>
                <w:rFonts w:hint="eastAsia" w:ascii="仿宋_GB2312"/>
              </w:rPr>
              <w:t>3-6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4650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4050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Ⅱ</w:t>
            </w:r>
            <w:r>
              <w:rPr>
                <w:rStyle w:val="8"/>
                <w:rFonts w:hint="eastAsia" w:ascii="仿宋_GB2312"/>
              </w:rPr>
              <w:t>1-5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3825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825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Ⅱ</w:t>
            </w:r>
            <w:r>
              <w:rPr>
                <w:rStyle w:val="8"/>
                <w:rFonts w:hint="eastAsia" w:ascii="仿宋_GB2312"/>
              </w:rPr>
              <w:t>6-7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Ⅲ</w:t>
            </w:r>
            <w:r>
              <w:rPr>
                <w:rStyle w:val="8"/>
                <w:rFonts w:hint="eastAsia" w:ascii="仿宋_GB2312"/>
              </w:rPr>
              <w:t>1-4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Ⅲ</w:t>
            </w:r>
            <w:r>
              <w:rPr>
                <w:rStyle w:val="8"/>
                <w:rFonts w:hint="eastAsia" w:ascii="仿宋_GB2312"/>
              </w:rPr>
              <w:t>5-16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Ⅳ</w:t>
            </w:r>
            <w:r>
              <w:rPr>
                <w:rStyle w:val="8"/>
                <w:rFonts w:hint="eastAsia" w:ascii="仿宋_GB2312"/>
              </w:rPr>
              <w:t>1-5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Ⅳ</w:t>
            </w:r>
            <w:r>
              <w:rPr>
                <w:rStyle w:val="8"/>
                <w:rFonts w:hint="eastAsia" w:ascii="仿宋_GB2312"/>
              </w:rPr>
              <w:t>6-10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1275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Ⅴ</w:t>
            </w:r>
            <w:r>
              <w:rPr>
                <w:rStyle w:val="8"/>
                <w:rFonts w:hint="eastAsia" w:ascii="仿宋_GB2312"/>
              </w:rPr>
              <w:t>1-15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Ⅴ</w:t>
            </w:r>
            <w:r>
              <w:rPr>
                <w:rStyle w:val="8"/>
                <w:rFonts w:hint="eastAsia" w:ascii="仿宋_GB2312"/>
              </w:rPr>
              <w:t>16-21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975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cs="宋体"/>
                <w:color w:val="000000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beforeLines="0" w:afterLines="0" w:line="500" w:lineRule="exact"/>
        <w:ind w:left="1226" w:leftChars="0" w:right="320" w:hanging="1226" w:hangingChars="436"/>
        <w:jc w:val="center"/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</w:p>
    <w:p>
      <w:pPr>
        <w:rPr>
          <w:rFonts w:hint="eastAsia"/>
          <w:color w:val="000000"/>
        </w:rPr>
      </w:pPr>
    </w:p>
    <w:p>
      <w:pPr>
        <w:pStyle w:val="3"/>
        <w:adjustRightInd w:val="0"/>
        <w:snapToGrid w:val="0"/>
        <w:spacing w:beforeLines="0" w:after="120" w:line="500" w:lineRule="exact"/>
        <w:ind w:left="1226" w:leftChars="0" w:right="320" w:hanging="1226" w:hangingChars="436"/>
        <w:jc w:val="center"/>
        <w:rPr>
          <w:rStyle w:val="7"/>
          <w:rFonts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表</w:t>
      </w:r>
      <w:r>
        <w:rPr>
          <w:rStyle w:val="7"/>
          <w:rFonts w:ascii="仿宋_GB2312" w:eastAsia="仿宋_GB2312"/>
          <w:b/>
          <w:bCs/>
          <w:iCs/>
          <w:color w:val="000000"/>
          <w:sz w:val="28"/>
          <w:szCs w:val="28"/>
        </w:rPr>
        <w:t xml:space="preserve">5 </w:t>
      </w: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宝鸡市中心城区公共管理与公共服务用地级别基准地价表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07"/>
        <w:gridCol w:w="1140"/>
        <w:gridCol w:w="1325"/>
        <w:gridCol w:w="1390"/>
        <w:gridCol w:w="1492"/>
        <w:gridCol w:w="11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营利性级别地价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非营利性级别地价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级别平均基准地价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元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元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元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万元</w:t>
            </w:r>
            <w:r>
              <w:rPr>
                <w:rStyle w:val="9"/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2593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172.87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1907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127.13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2119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141.27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1481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98.73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1557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103.80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76.20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72.00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48.00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975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65.00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35.00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45.00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25.00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</w:tr>
    </w:tbl>
    <w:p>
      <w:pPr>
        <w:pStyle w:val="3"/>
        <w:adjustRightInd w:val="0"/>
        <w:snapToGrid w:val="0"/>
        <w:spacing w:beforeLines="0" w:after="120" w:line="500" w:lineRule="exact"/>
        <w:ind w:left="0" w:leftChars="0" w:right="0" w:rightChars="0"/>
        <w:jc w:val="center"/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</w:p>
    <w:p>
      <w:pPr>
        <w:pStyle w:val="3"/>
        <w:adjustRightInd w:val="0"/>
        <w:snapToGrid w:val="0"/>
        <w:spacing w:beforeLines="0" w:after="120" w:line="500" w:lineRule="exact"/>
        <w:ind w:left="0" w:leftChars="0" w:right="0" w:rightChars="0"/>
        <w:jc w:val="center"/>
        <w:rPr>
          <w:rStyle w:val="7"/>
          <w:rFonts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表</w:t>
      </w:r>
      <w:r>
        <w:rPr>
          <w:rStyle w:val="7"/>
          <w:rFonts w:ascii="仿宋_GB2312" w:eastAsia="仿宋_GB2312"/>
          <w:b/>
          <w:bCs/>
          <w:iCs/>
          <w:color w:val="000000"/>
          <w:sz w:val="28"/>
          <w:szCs w:val="28"/>
        </w:rPr>
        <w:t xml:space="preserve">6 </w:t>
      </w: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其他镇级别基准地价表</w:t>
      </w:r>
    </w:p>
    <w:tbl>
      <w:tblPr>
        <w:tblStyle w:val="5"/>
        <w:tblW w:w="0" w:type="auto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44"/>
        <w:gridCol w:w="414"/>
        <w:gridCol w:w="828"/>
        <w:gridCol w:w="790"/>
        <w:gridCol w:w="828"/>
        <w:gridCol w:w="790"/>
        <w:gridCol w:w="828"/>
        <w:gridCol w:w="883"/>
        <w:gridCol w:w="1182"/>
        <w:gridCol w:w="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68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镇名</w:t>
            </w: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工业用地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b/>
                <w:color w:val="000000"/>
                <w:sz w:val="24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b/>
                <w:color w:val="000000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万元/亩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7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县功镇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I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4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68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金河镇（含工业园）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慕仪镇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贾村镇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新街镇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凤阁岭镇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拓石镇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坪头镇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香泉镇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赤沙镇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9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柳林镇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长青镇（含工业园）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9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陈村镇（含工业园）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横水镇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仿宋_GB2312"/>
                <w:color w:val="000000"/>
                <w:sz w:val="24"/>
              </w:rPr>
            </w:pP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Ⅱ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彪角镇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虢王镇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范家寨镇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田家庄镇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南指挥镇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糜杆桥镇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0" w:hRule="atLeast"/>
        </w:trPr>
        <w:tc>
          <w:tcPr>
            <w:tcW w:w="12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姚家沟镇</w:t>
            </w:r>
          </w:p>
        </w:tc>
        <w:tc>
          <w:tcPr>
            <w:tcW w:w="414" w:type="dxa"/>
            <w:noWrap w:val="0"/>
            <w:vAlign w:val="top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79A315B5"/>
    <w:rsid w:val="79A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paragraph" w:styleId="4">
    <w:name w:val="Block Text"/>
    <w:basedOn w:val="1"/>
    <w:uiPriority w:val="0"/>
    <w:pPr>
      <w:spacing w:beforeLines="50" w:afterLines="50" w:line="360" w:lineRule="exact"/>
      <w:ind w:left="1440" w:leftChars="700" w:right="1440" w:rightChars="700"/>
    </w:pPr>
    <w:rPr>
      <w:rFonts w:ascii="Times New Roman" w:hAnsi="Times New Roman" w:eastAsia="宋体"/>
      <w:sz w:val="24"/>
    </w:rPr>
  </w:style>
  <w:style w:type="character" w:customStyle="1" w:styleId="7">
    <w:name w:val="Intense Emphasis"/>
    <w:basedOn w:val="6"/>
    <w:uiPriority w:val="0"/>
    <w:rPr>
      <w:rFonts w:ascii="华文细黑" w:hAnsi="华文细黑" w:eastAsia="黑体" w:cs="Times New Roman"/>
      <w:color w:val="auto"/>
      <w:sz w:val="22"/>
    </w:rPr>
  </w:style>
  <w:style w:type="character" w:customStyle="1" w:styleId="8">
    <w:name w:val="font21"/>
    <w:basedOn w:val="6"/>
    <w:uiPriority w:val="0"/>
    <w:rPr>
      <w:rFonts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9">
    <w:name w:val="font01"/>
    <w:qFormat/>
    <w:uiPriority w:val="0"/>
    <w:rPr>
      <w:rFonts w:ascii="楷体_GB2312" w:eastAsia="楷体_GB2312" w:cs="楷体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2023-03-03T01:43:00Z</dcterms:created>
  <dc:creator>Administrator</dc:creator>
  <cp:lastModifiedBy>Administrator</cp:lastModifiedBy>
  <dcterms:modified xsi:type="dcterms:W3CDTF">2023-03-03T01:43:37Z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6082457675834D29B162A168BC7B1667</vt:lpwstr>
  </property>
</Properties>
</file>