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Lines="0" w:afterLines="0" w:line="600" w:lineRule="exact"/>
        <w:ind w:left="0" w:leftChars="0" w:right="0" w:rightChars="0"/>
        <w:rPr>
          <w:rFonts w:hint="eastAsia" w:ascii="黑体" w:hAnsi="黑体" w:eastAsia="黑体"/>
          <w:bCs/>
          <w:i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iCs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400" w:lineRule="exact"/>
        <w:rPr>
          <w:rFonts w:hint="eastAsia"/>
          <w:color w:val="000000"/>
        </w:rPr>
      </w:pPr>
    </w:p>
    <w:p>
      <w:pPr>
        <w:pStyle w:val="3"/>
        <w:adjustRightInd w:val="0"/>
        <w:snapToGrid w:val="0"/>
        <w:spacing w:beforeLines="0" w:afterLines="0" w:line="600" w:lineRule="exact"/>
        <w:ind w:left="0" w:leftChars="0" w:right="0" w:rightChars="0"/>
        <w:jc w:val="center"/>
        <w:rPr>
          <w:rStyle w:val="6"/>
          <w:rFonts w:hint="eastAsia" w:ascii="方正小标宋简体" w:hAnsi="黑体" w:eastAsia="方正小标宋简体"/>
          <w:bCs/>
          <w:iCs/>
          <w:color w:val="000000"/>
          <w:sz w:val="44"/>
          <w:szCs w:val="44"/>
        </w:rPr>
      </w:pPr>
      <w:bookmarkStart w:id="2" w:name="_GoBack"/>
      <w:r>
        <w:rPr>
          <w:rStyle w:val="6"/>
          <w:rFonts w:hint="eastAsia" w:ascii="方正小标宋简体" w:hAnsi="黑体" w:eastAsia="方正小标宋简体"/>
          <w:bCs/>
          <w:iCs/>
          <w:color w:val="000000"/>
          <w:sz w:val="44"/>
          <w:szCs w:val="44"/>
        </w:rPr>
        <w:t>级别基准地价内涵</w:t>
      </w:r>
    </w:p>
    <w:bookmarkEnd w:id="2"/>
    <w:p>
      <w:pPr>
        <w:pStyle w:val="3"/>
        <w:adjustRightInd w:val="0"/>
        <w:snapToGrid w:val="0"/>
        <w:spacing w:beforeLines="0" w:afterLines="0" w:line="240" w:lineRule="exact"/>
        <w:ind w:left="0" w:leftChars="0" w:right="0" w:rightChars="0"/>
        <w:rPr>
          <w:rStyle w:val="6"/>
          <w:rFonts w:ascii="黑体" w:hAnsi="黑体"/>
          <w:bCs/>
          <w:iCs/>
          <w:color w:val="000000"/>
          <w:sz w:val="36"/>
          <w:szCs w:val="36"/>
        </w:rPr>
      </w:pPr>
    </w:p>
    <w:p>
      <w:pPr>
        <w:pStyle w:val="3"/>
        <w:adjustRightInd w:val="0"/>
        <w:snapToGrid w:val="0"/>
        <w:spacing w:beforeLines="0" w:afterLines="0" w:line="500" w:lineRule="exact"/>
        <w:ind w:left="0" w:leftChars="0" w:right="0" w:rightChars="0"/>
        <w:jc w:val="center"/>
        <w:rPr>
          <w:rStyle w:val="6"/>
          <w:rFonts w:hint="eastAsia" w:ascii="仿宋_GB2312" w:eastAsia="仿宋_GB2312"/>
          <w:b/>
          <w:bCs/>
          <w:iCs/>
          <w:color w:val="000000"/>
          <w:sz w:val="28"/>
          <w:szCs w:val="28"/>
        </w:rPr>
      </w:pPr>
      <w:r>
        <w:rPr>
          <w:rStyle w:val="6"/>
          <w:rFonts w:hint="eastAsia" w:ascii="仿宋_GB2312" w:eastAsia="仿宋_GB2312"/>
          <w:b/>
          <w:bCs/>
          <w:iCs/>
          <w:color w:val="000000"/>
          <w:sz w:val="28"/>
          <w:szCs w:val="28"/>
        </w:rPr>
        <w:t>表1  宝鸡市中心城区基准地价内涵表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78"/>
        <w:gridCol w:w="1134"/>
        <w:gridCol w:w="1120"/>
        <w:gridCol w:w="3446"/>
        <w:gridCol w:w="1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2" w:hRule="atLeast"/>
          <w:tblHeader/>
          <w:jc w:val="center"/>
        </w:trPr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i/>
                <w:i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  <w:t>用</w:t>
            </w:r>
            <w:r>
              <w:rPr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  <w:t>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i/>
                <w:i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  <w:t>商服用地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i/>
                <w:i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  <w:t>住宅用地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i/>
                <w:i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  <w:t>公共管理与公共服务用地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  <w:t>工矿仓储用地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容积率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5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使用年期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96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土地开发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程度</w:t>
            </w:r>
          </w:p>
        </w:tc>
        <w:tc>
          <w:tcPr>
            <w:tcW w:w="73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）主城区商业、住宅、公服的一级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四级、工业一级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三级，凤翔区五级的土地开发程度：“七通一平”（供水、排水、供电、供气、供暖、通讯、通路、场地平整）；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）主城区商业、住宅、公服的五级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六级、工业四级及五级，凤翔区六级的土地开发程度：“五通一平”（供水、排水、供电、通讯、通路、场地平整）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3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评估基准日</w:t>
            </w:r>
          </w:p>
        </w:tc>
        <w:tc>
          <w:tcPr>
            <w:tcW w:w="73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31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3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权利性质及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表现形式</w:t>
            </w:r>
          </w:p>
        </w:tc>
        <w:tc>
          <w:tcPr>
            <w:tcW w:w="73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完整权利下的国有出让建设用地使用权地面熟地价格</w:t>
            </w:r>
          </w:p>
        </w:tc>
      </w:tr>
    </w:tbl>
    <w:p>
      <w:pPr>
        <w:pStyle w:val="3"/>
        <w:adjustRightInd w:val="0"/>
        <w:snapToGrid w:val="0"/>
        <w:spacing w:before="192" w:beforeLines="80" w:afterLines="0" w:line="500" w:lineRule="exact"/>
        <w:ind w:left="1226" w:leftChars="0" w:right="0" w:rightChars="0" w:hanging="1226" w:hangingChars="436"/>
        <w:jc w:val="center"/>
        <w:rPr>
          <w:rStyle w:val="6"/>
          <w:rFonts w:hint="eastAsia" w:ascii="仿宋_GB2312" w:eastAsia="仿宋_GB2312"/>
          <w:b/>
          <w:bCs/>
          <w:iCs/>
          <w:color w:val="000000"/>
          <w:sz w:val="28"/>
          <w:szCs w:val="28"/>
        </w:rPr>
      </w:pPr>
      <w:bookmarkStart w:id="0" w:name="_Toc278391798"/>
      <w:bookmarkStart w:id="1" w:name="_Toc282757808"/>
      <w:r>
        <w:rPr>
          <w:rStyle w:val="6"/>
          <w:rFonts w:hint="eastAsia" w:ascii="仿宋_GB2312" w:eastAsia="仿宋_GB2312"/>
          <w:b/>
          <w:bCs/>
          <w:iCs/>
          <w:color w:val="000000"/>
          <w:sz w:val="28"/>
          <w:szCs w:val="28"/>
        </w:rPr>
        <w:t>表2  五个定级镇基准地价内涵及表现形式表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53"/>
        <w:gridCol w:w="1842"/>
        <w:gridCol w:w="1260"/>
        <w:gridCol w:w="1656"/>
        <w:gridCol w:w="1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0" w:hRule="atLeast"/>
          <w:tblHeader/>
          <w:jc w:val="center"/>
        </w:trPr>
        <w:tc>
          <w:tcPr>
            <w:tcW w:w="235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i/>
                <w:i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用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途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i/>
                <w:i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商服用地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i/>
                <w:i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住宅用地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公共管理与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i/>
                <w:i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公共服务用地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工矿仓储用地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容积率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使用年期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土地开发程度</w:t>
            </w:r>
          </w:p>
        </w:tc>
        <w:tc>
          <w:tcPr>
            <w:tcW w:w="64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“五通一平”（供水、排水、供电、通讯、通路、场地平整）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评估基准日</w:t>
            </w:r>
          </w:p>
        </w:tc>
        <w:tc>
          <w:tcPr>
            <w:tcW w:w="64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31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权利性质及表现形式</w:t>
            </w:r>
          </w:p>
        </w:tc>
        <w:tc>
          <w:tcPr>
            <w:tcW w:w="64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完整权利下的国有出让建设用地使用权地面熟地价格</w:t>
            </w:r>
          </w:p>
        </w:tc>
      </w:tr>
      <w:bookmarkEnd w:id="0"/>
      <w:bookmarkEnd w:id="1"/>
    </w:tbl>
    <w:p>
      <w:pPr>
        <w:pStyle w:val="3"/>
        <w:adjustRightInd w:val="0"/>
        <w:snapToGrid w:val="0"/>
        <w:spacing w:before="192" w:beforeLines="80" w:afterLines="0" w:line="500" w:lineRule="exact"/>
        <w:ind w:left="0" w:leftChars="0" w:right="0" w:rightChars="0"/>
        <w:jc w:val="center"/>
        <w:rPr>
          <w:rStyle w:val="6"/>
          <w:rFonts w:ascii="仿宋_GB2312" w:eastAsia="仿宋_GB2312"/>
          <w:b/>
          <w:bCs/>
          <w:iCs/>
          <w:color w:val="000000"/>
          <w:sz w:val="28"/>
          <w:szCs w:val="28"/>
        </w:rPr>
      </w:pPr>
      <w:r>
        <w:rPr>
          <w:rStyle w:val="6"/>
          <w:rFonts w:hint="eastAsia" w:ascii="仿宋_GB2312" w:eastAsia="仿宋_GB2312"/>
          <w:b/>
          <w:bCs/>
          <w:iCs/>
          <w:color w:val="000000"/>
          <w:sz w:val="28"/>
          <w:szCs w:val="28"/>
        </w:rPr>
        <w:t>表</w:t>
      </w:r>
      <w:r>
        <w:rPr>
          <w:rStyle w:val="6"/>
          <w:rFonts w:ascii="仿宋_GB2312" w:eastAsia="仿宋_GB2312"/>
          <w:b/>
          <w:bCs/>
          <w:iCs/>
          <w:color w:val="000000"/>
          <w:sz w:val="28"/>
          <w:szCs w:val="28"/>
        </w:rPr>
        <w:t xml:space="preserve">3  </w:t>
      </w:r>
      <w:r>
        <w:rPr>
          <w:rStyle w:val="6"/>
          <w:rFonts w:hint="eastAsia" w:ascii="仿宋_GB2312" w:eastAsia="仿宋_GB2312"/>
          <w:b/>
          <w:bCs/>
          <w:iCs/>
          <w:color w:val="000000"/>
          <w:sz w:val="28"/>
          <w:szCs w:val="28"/>
        </w:rPr>
        <w:t>其他建制镇基准地价内涵及表现形式表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66"/>
        <w:gridCol w:w="1106"/>
        <w:gridCol w:w="1106"/>
        <w:gridCol w:w="2771"/>
        <w:gridCol w:w="13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8" w:hRule="atLeast"/>
          <w:tblHeader/>
          <w:jc w:val="center"/>
        </w:trPr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i/>
                <w:i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用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途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i/>
                <w:i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商服用地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i/>
                <w:i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住宅用地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i/>
                <w:i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公共管理与公共服务用地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napToGrid w:val="0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000000"/>
                <w:spacing w:val="-10"/>
                <w:kern w:val="0"/>
                <w:sz w:val="24"/>
              </w:rPr>
              <w:t>工矿仓储用地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left="1" w:leftChars="-17" w:hanging="55" w:hangingChars="2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容积率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1.0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5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使用年期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土地开发程度</w:t>
            </w:r>
          </w:p>
        </w:tc>
        <w:tc>
          <w:tcPr>
            <w:tcW w:w="6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“四通一平”（供水、供电、通讯、通路、场地平整）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评估基准日</w:t>
            </w:r>
          </w:p>
        </w:tc>
        <w:tc>
          <w:tcPr>
            <w:tcW w:w="6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31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权利性质及表现形式</w:t>
            </w:r>
          </w:p>
        </w:tc>
        <w:tc>
          <w:tcPr>
            <w:tcW w:w="6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完整权利下的国有出让建设用地使用权地面熟地价格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zQ1MGFhNjQwYmRiZTBkOTdkYTQ0MGM4MGRmNmIifQ=="/>
  </w:docVars>
  <w:rsids>
    <w:rsidRoot w:val="53C00EC0"/>
    <w:rsid w:val="53C0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eastAsia="宋体" w:cs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iPriority w:val="0"/>
    <w:pPr>
      <w:spacing w:beforeLines="50" w:afterLines="50"/>
      <w:ind w:left="400" w:leftChars="400" w:right="100" w:rightChars="100"/>
    </w:pPr>
    <w:rPr>
      <w:rFonts w:ascii="Times New Roman" w:hAnsi="Times New Roman" w:eastAsia="宋体"/>
      <w:sz w:val="24"/>
      <w:szCs w:val="20"/>
    </w:rPr>
  </w:style>
  <w:style w:type="character" w:customStyle="1" w:styleId="6">
    <w:name w:val="Intense Emphasis"/>
    <w:basedOn w:val="5"/>
    <w:uiPriority w:val="0"/>
    <w:rPr>
      <w:rFonts w:ascii="华文细黑" w:hAnsi="华文细黑" w:eastAsia="黑体" w:cs="Times New Roman"/>
      <w:color w:val="auto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2023-03-03T01:39:00Z</dcterms:created>
  <dc:creator>Administrator</dc:creator>
  <cp:lastModifiedBy>Administrator</cp:lastModifiedBy>
  <dcterms:modified xsi:type="dcterms:W3CDTF">2023-03-03T01:41:06Z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F7EFBDC03E5744CE98ED979E68DC6415</vt:lpwstr>
  </property>
</Properties>
</file>